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2A621F">
        <w:rPr>
          <w:rFonts w:ascii="Arial" w:hAnsi="Arial" w:cs="Arial"/>
          <w:color w:val="4BACC6" w:themeColor="accent5"/>
          <w:sz w:val="24"/>
          <w:szCs w:val="24"/>
        </w:rPr>
        <w:t xml:space="preserve">quince de febrero de </w:t>
      </w:r>
      <w:r w:rsidR="00BA353F" w:rsidRPr="00976F0C">
        <w:rPr>
          <w:rFonts w:ascii="Arial" w:hAnsi="Arial" w:cs="Arial"/>
          <w:color w:val="4BACC6" w:themeColor="accent5"/>
          <w:sz w:val="24"/>
          <w:szCs w:val="24"/>
        </w:rPr>
        <w:t>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2A621F">
        <w:rPr>
          <w:rFonts w:ascii="Arial" w:hAnsi="Arial" w:cs="Arial"/>
          <w:color w:val="4BACC6" w:themeColor="accent5"/>
          <w:sz w:val="24"/>
          <w:szCs w:val="24"/>
        </w:rPr>
        <w:t xml:space="preserve">sentido </w:t>
      </w:r>
      <w:r w:rsidR="002D371A" w:rsidRPr="00976F0C">
        <w:rPr>
          <w:rFonts w:ascii="Arial" w:hAnsi="Arial" w:cs="Arial"/>
          <w:color w:val="4BACC6" w:themeColor="accent5"/>
          <w:sz w:val="24"/>
          <w:szCs w:val="24"/>
        </w:rPr>
        <w:t xml:space="preserve">dictado en la </w:t>
      </w:r>
      <w:r w:rsidR="00E135A8">
        <w:rPr>
          <w:rFonts w:ascii="Arial" w:hAnsi="Arial" w:cs="Arial"/>
          <w:color w:val="4BACC6" w:themeColor="accent5"/>
          <w:sz w:val="24"/>
          <w:szCs w:val="24"/>
        </w:rPr>
        <w:t>presente determinación:</w:t>
      </w:r>
      <w:bookmarkStart w:id="1" w:name="_GoBack"/>
      <w:bookmarkEnd w:id="1"/>
    </w:p>
    <w:p w:rsidR="00086A93" w:rsidRPr="00C66BCC" w:rsidRDefault="00090736" w:rsidP="00C66BCC">
      <w:pPr>
        <w:pStyle w:val="corte4fondo"/>
        <w:tabs>
          <w:tab w:val="left" w:pos="567"/>
        </w:tabs>
        <w:rPr>
          <w:rFonts w:cs="Arial"/>
          <w:i/>
          <w:color w:val="4BACC6" w:themeColor="accent5"/>
          <w:sz w:val="22"/>
          <w:szCs w:val="22"/>
        </w:rPr>
      </w:pPr>
      <w:r w:rsidRPr="00C66BCC">
        <w:rPr>
          <w:rFonts w:cs="Arial"/>
          <w:i/>
          <w:color w:val="4BACC6" w:themeColor="accent5"/>
          <w:sz w:val="22"/>
          <w:szCs w:val="22"/>
        </w:rPr>
        <w:t>“…</w:t>
      </w:r>
      <w:r w:rsidR="002A621F" w:rsidRPr="00C66BCC">
        <w:rPr>
          <w:rFonts w:cs="Arial"/>
          <w:b/>
          <w:i/>
          <w:color w:val="4BACC6" w:themeColor="accent5"/>
          <w:sz w:val="22"/>
          <w:szCs w:val="22"/>
        </w:rPr>
        <w:t xml:space="preserve">6.5. Sentido y efectos de la resolución. </w:t>
      </w:r>
      <w:r w:rsidR="002A621F" w:rsidRPr="00C66BCC">
        <w:rPr>
          <w:rFonts w:cs="Arial"/>
          <w:i/>
          <w:color w:val="4BACC6" w:themeColor="accent5"/>
          <w:sz w:val="22"/>
          <w:szCs w:val="22"/>
        </w:rPr>
        <w:t xml:space="preserve">En las condiciones anotadas y, al haber resultado fundado el agravio que hizo valer el recurrente, lo procedente es que esta Comisión Estatal de Garantía de Acceso a la Información Pública de conformidad con el artículo 164 de la Ley de Transparencia y Acceso a la Información </w:t>
      </w:r>
      <w:r w:rsidR="00086A93" w:rsidRPr="00C66BCC">
        <w:rPr>
          <w:rFonts w:cs="Arial"/>
          <w:i/>
          <w:color w:val="4BACC6" w:themeColor="accent5"/>
          <w:sz w:val="22"/>
          <w:szCs w:val="22"/>
        </w:rPr>
        <w:t>Pública del Estado aplica el principio de afirmativa ficta y por lo tanto conmina al sujeto obligado para que entregue al solicitante la información de manera gratuita sobre:</w:t>
      </w:r>
    </w:p>
    <w:p w:rsidR="00086A93" w:rsidRPr="00C66BCC" w:rsidRDefault="00086A93" w:rsidP="00C66BCC">
      <w:pPr>
        <w:pStyle w:val="corte4fondo"/>
        <w:tabs>
          <w:tab w:val="left" w:pos="567"/>
        </w:tabs>
        <w:rPr>
          <w:rFonts w:cs="Arial"/>
          <w:b/>
          <w:i/>
          <w:color w:val="4BACC6" w:themeColor="accent5"/>
          <w:sz w:val="22"/>
          <w:szCs w:val="22"/>
        </w:rPr>
      </w:pPr>
    </w:p>
    <w:p w:rsidR="00E135A8" w:rsidRPr="00C66BCC" w:rsidRDefault="00086A93" w:rsidP="00C66BCC">
      <w:pPr>
        <w:pStyle w:val="corte4fondo"/>
        <w:numPr>
          <w:ilvl w:val="0"/>
          <w:numId w:val="15"/>
        </w:numPr>
        <w:tabs>
          <w:tab w:val="left" w:pos="567"/>
        </w:tabs>
        <w:rPr>
          <w:rFonts w:cs="Arial"/>
          <w:i/>
          <w:color w:val="4BACC6" w:themeColor="accent5"/>
          <w:sz w:val="22"/>
          <w:szCs w:val="22"/>
        </w:rPr>
      </w:pPr>
      <w:proofErr w:type="gramStart"/>
      <w:r w:rsidRPr="00C66BCC">
        <w:rPr>
          <w:rFonts w:cs="Arial"/>
          <w:i/>
          <w:color w:val="4BACC6" w:themeColor="accent5"/>
          <w:sz w:val="22"/>
          <w:szCs w:val="22"/>
        </w:rPr>
        <w:t xml:space="preserve">A </w:t>
      </w:r>
      <w:proofErr w:type="spellStart"/>
      <w:r w:rsidRPr="00C66BCC">
        <w:rPr>
          <w:rFonts w:cs="Arial"/>
          <w:i/>
          <w:color w:val="4BACC6" w:themeColor="accent5"/>
          <w:sz w:val="22"/>
          <w:szCs w:val="22"/>
        </w:rPr>
        <w:t>que</w:t>
      </w:r>
      <w:proofErr w:type="spellEnd"/>
      <w:r w:rsidRPr="00C66BCC">
        <w:rPr>
          <w:rFonts w:cs="Arial"/>
          <w:i/>
          <w:color w:val="4BACC6" w:themeColor="accent5"/>
          <w:sz w:val="22"/>
          <w:szCs w:val="22"/>
        </w:rPr>
        <w:t xml:space="preserve"> se debe el adeudo con la empresa infra proveedora de oxígeno en los hospitales de la Secretaria de Salud, cuando esto es algo indispensable para el funcionamiento de los hospitales y a cuánto ascendía el adeudo hasta el 14 de septiembre?</w:t>
      </w:r>
      <w:proofErr w:type="gramEnd"/>
      <w:r w:rsidR="00E135A8" w:rsidRPr="00C66BCC">
        <w:rPr>
          <w:rFonts w:cs="Arial"/>
          <w:i/>
          <w:color w:val="4BACC6" w:themeColor="accent5"/>
          <w:sz w:val="22"/>
          <w:szCs w:val="22"/>
        </w:rPr>
        <w:t>”</w:t>
      </w:r>
    </w:p>
    <w:p w:rsidR="003047E5" w:rsidRPr="00976F0C" w:rsidRDefault="0039642A" w:rsidP="00E135A8">
      <w:pPr>
        <w:pStyle w:val="corte4fondo"/>
        <w:tabs>
          <w:tab w:val="left" w:pos="567"/>
        </w:tabs>
        <w:spacing w:line="240" w:lineRule="auto"/>
        <w:ind w:firstLine="0"/>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351566">
        <w:rPr>
          <w:rFonts w:ascii="Arial" w:hAnsi="Arial" w:cs="Arial"/>
          <w:color w:val="4BACC6" w:themeColor="accent5"/>
          <w:sz w:val="24"/>
          <w:szCs w:val="24"/>
        </w:rPr>
        <w:t>escrito signado por la Encargada de la Unidad de Transparencia de Servicios de Salud del Estado</w:t>
      </w:r>
      <w:r w:rsidR="00ED382A" w:rsidRPr="00976F0C">
        <w:rPr>
          <w:rFonts w:ascii="Arial" w:hAnsi="Arial" w:cs="Arial"/>
          <w:color w:val="4BACC6" w:themeColor="accent5"/>
          <w:sz w:val="24"/>
          <w:szCs w:val="24"/>
        </w:rPr>
        <w:t xml:space="preserve">,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351566">
        <w:rPr>
          <w:rFonts w:ascii="Arial" w:hAnsi="Arial" w:cs="Arial"/>
          <w:color w:val="4BACC6" w:themeColor="accent5"/>
          <w:sz w:val="24"/>
          <w:szCs w:val="24"/>
        </w:rPr>
        <w:t xml:space="preserve">veintidós de enero </w:t>
      </w:r>
      <w:r w:rsidR="00ED382A" w:rsidRPr="00976F0C">
        <w:rPr>
          <w:rFonts w:ascii="Arial" w:hAnsi="Arial" w:cs="Arial"/>
          <w:color w:val="4BACC6" w:themeColor="accent5"/>
          <w:sz w:val="24"/>
          <w:szCs w:val="24"/>
        </w:rPr>
        <w:t xml:space="preserve">de dos </w:t>
      </w:r>
      <w:r w:rsidR="002231D3" w:rsidRPr="00976F0C">
        <w:rPr>
          <w:rFonts w:ascii="Arial" w:hAnsi="Arial" w:cs="Arial"/>
          <w:color w:val="4BACC6" w:themeColor="accent5"/>
          <w:sz w:val="24"/>
          <w:szCs w:val="24"/>
        </w:rPr>
        <w:t>mil dieci</w:t>
      </w:r>
      <w:r w:rsidR="00351566">
        <w:rPr>
          <w:rFonts w:ascii="Arial" w:hAnsi="Arial" w:cs="Arial"/>
          <w:color w:val="4BACC6" w:themeColor="accent5"/>
          <w:sz w:val="24"/>
          <w:szCs w:val="24"/>
        </w:rPr>
        <w:t>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351566">
        <w:rPr>
          <w:rFonts w:ascii="Arial" w:hAnsi="Arial" w:cs="Arial"/>
          <w:color w:val="4BACC6" w:themeColor="accent5"/>
          <w:sz w:val="24"/>
          <w:szCs w:val="24"/>
        </w:rPr>
        <w:t xml:space="preserve">dos </w:t>
      </w:r>
      <w:r w:rsidR="006A4610" w:rsidRPr="00976F0C">
        <w:rPr>
          <w:rFonts w:ascii="Arial" w:hAnsi="Arial" w:cs="Arial"/>
          <w:color w:val="4BACC6" w:themeColor="accent5"/>
          <w:sz w:val="24"/>
          <w:szCs w:val="24"/>
        </w:rPr>
        <w:t>anexo</w:t>
      </w:r>
      <w:r w:rsidR="00351566">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C66BCC">
      <w:pPr>
        <w:spacing w:after="0" w:line="36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351566">
        <w:rPr>
          <w:rFonts w:ascii="Arial" w:hAnsi="Arial" w:cs="Arial"/>
          <w:i/>
          <w:color w:val="4BACC6" w:themeColor="accent5"/>
        </w:rPr>
        <w:t xml:space="preserve">se me tenga por dando cumplimiento a lo ordenado en el acuerdo de fecha 27 de noviembre de 2017, dictado por esa H. Comisión Estatal de Garantía de Acceso </w:t>
      </w:r>
      <w:proofErr w:type="gramStart"/>
      <w:r w:rsidR="00351566">
        <w:rPr>
          <w:rFonts w:ascii="Arial" w:hAnsi="Arial" w:cs="Arial"/>
          <w:i/>
          <w:color w:val="4BACC6" w:themeColor="accent5"/>
        </w:rPr>
        <w:t>a  la</w:t>
      </w:r>
      <w:proofErr w:type="gramEnd"/>
      <w:r w:rsidR="00351566">
        <w:rPr>
          <w:rFonts w:ascii="Arial" w:hAnsi="Arial" w:cs="Arial"/>
          <w:i/>
          <w:color w:val="4BACC6" w:themeColor="accent5"/>
        </w:rPr>
        <w:t xml:space="preserve"> Información </w:t>
      </w:r>
      <w:r w:rsidR="0077165D">
        <w:rPr>
          <w:rFonts w:ascii="Arial" w:hAnsi="Arial" w:cs="Arial"/>
          <w:i/>
          <w:color w:val="4BACC6" w:themeColor="accent5"/>
        </w:rPr>
        <w:t>Pública del Estado de San Luis Potosí, dentro del recurso arriba señalado</w:t>
      </w:r>
      <w:r w:rsidR="00E621C8">
        <w:rPr>
          <w:rFonts w:ascii="Arial" w:hAnsi="Arial" w:cs="Arial"/>
          <w:i/>
          <w:color w:val="4BACC6" w:themeColor="accent5"/>
        </w:rPr>
        <w:t>.”</w:t>
      </w:r>
      <w:r w:rsidR="001C77AA" w:rsidRPr="00976F0C">
        <w:rPr>
          <w:rFonts w:ascii="Arial" w:hAnsi="Arial" w:cs="Arial"/>
          <w:i/>
          <w:color w:val="4BACC6" w:themeColor="accent5"/>
        </w:rPr>
        <w:t xml:space="preserve"> </w:t>
      </w:r>
      <w:r w:rsidR="0077165D" w:rsidRPr="00976F0C">
        <w:rPr>
          <w:rFonts w:ascii="Arial" w:hAnsi="Arial" w:cs="Arial"/>
          <w:i/>
          <w:color w:val="4BACC6" w:themeColor="accent5"/>
        </w:rPr>
        <w:t>[…]</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C66BCC">
        <w:rPr>
          <w:rFonts w:cs="Arial"/>
          <w:color w:val="4BACC6" w:themeColor="accent5"/>
          <w:sz w:val="24"/>
          <w:szCs w:val="24"/>
        </w:rPr>
        <w:lastRenderedPageBreak/>
        <w:t xml:space="preserve">En ese </w:t>
      </w:r>
      <w:r w:rsidRPr="00976F0C">
        <w:rPr>
          <w:rFonts w:cs="Arial"/>
          <w:color w:val="4BACC6" w:themeColor="accent5"/>
          <w:sz w:val="24"/>
          <w:szCs w:val="24"/>
        </w:rPr>
        <w:t>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8D70F1">
        <w:rPr>
          <w:rFonts w:cs="Arial"/>
          <w:color w:val="4BACC6" w:themeColor="accent5"/>
          <w:sz w:val="24"/>
          <w:szCs w:val="24"/>
        </w:rPr>
        <w:t>38</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8D70F1">
        <w:rPr>
          <w:rFonts w:cs="Arial"/>
          <w:color w:val="4BACC6" w:themeColor="accent5"/>
          <w:sz w:val="24"/>
          <w:szCs w:val="24"/>
        </w:rPr>
        <w:t>42</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8D70F1" w:rsidRDefault="00AF0D89" w:rsidP="00E820B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D11CA5" w:rsidRPr="00976F0C">
        <w:rPr>
          <w:rFonts w:cs="Arial"/>
          <w:color w:val="4BACC6" w:themeColor="accent5"/>
          <w:sz w:val="24"/>
          <w:szCs w:val="24"/>
        </w:rPr>
        <w:t xml:space="preserve">el sujeto obligado </w:t>
      </w:r>
      <w:r w:rsidRPr="00976F0C">
        <w:rPr>
          <w:rFonts w:cs="Arial"/>
          <w:color w:val="4BACC6" w:themeColor="accent5"/>
          <w:sz w:val="24"/>
          <w:szCs w:val="24"/>
        </w:rPr>
        <w:t xml:space="preserve">no acredita </w:t>
      </w:r>
      <w:r w:rsidR="00C66BCC">
        <w:rPr>
          <w:rFonts w:cs="Arial"/>
          <w:color w:val="4BACC6" w:themeColor="accent5"/>
          <w:sz w:val="24"/>
          <w:szCs w:val="24"/>
        </w:rPr>
        <w:t xml:space="preserve">el cumplimiento con </w:t>
      </w:r>
      <w:r w:rsidR="000B7F7D" w:rsidRPr="00976F0C">
        <w:rPr>
          <w:rFonts w:cs="Arial"/>
          <w:color w:val="4BACC6" w:themeColor="accent5"/>
          <w:sz w:val="24"/>
          <w:szCs w:val="24"/>
        </w:rPr>
        <w:t>la</w:t>
      </w:r>
      <w:r w:rsidR="00E621C8">
        <w:rPr>
          <w:rFonts w:cs="Arial"/>
          <w:color w:val="4BACC6" w:themeColor="accent5"/>
          <w:sz w:val="24"/>
          <w:szCs w:val="24"/>
        </w:rPr>
        <w:t>s</w:t>
      </w:r>
      <w:r w:rsidR="000B7F7D" w:rsidRPr="00976F0C">
        <w:rPr>
          <w:rFonts w:cs="Arial"/>
          <w:color w:val="4BACC6" w:themeColor="accent5"/>
          <w:sz w:val="24"/>
          <w:szCs w:val="24"/>
        </w:rPr>
        <w:t xml:space="preserve"> constancia</w:t>
      </w:r>
      <w:r w:rsidR="00E621C8">
        <w:rPr>
          <w:rFonts w:cs="Arial"/>
          <w:color w:val="4BACC6" w:themeColor="accent5"/>
          <w:sz w:val="24"/>
          <w:szCs w:val="24"/>
        </w:rPr>
        <w:t>s</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 xml:space="preserve">que </w:t>
      </w:r>
      <w:r w:rsidRPr="00976F0C">
        <w:rPr>
          <w:rFonts w:cs="Arial"/>
          <w:color w:val="4BACC6" w:themeColor="accent5"/>
          <w:sz w:val="24"/>
          <w:szCs w:val="24"/>
        </w:rPr>
        <w:t xml:space="preserve">remitió esté </w:t>
      </w:r>
      <w:r w:rsidR="000B7F7D" w:rsidRPr="00976F0C">
        <w:rPr>
          <w:rFonts w:cs="Arial"/>
          <w:color w:val="4BACC6" w:themeColor="accent5"/>
          <w:sz w:val="24"/>
          <w:szCs w:val="24"/>
        </w:rPr>
        <w:t>al recurrente</w:t>
      </w:r>
      <w:r w:rsidR="00427953">
        <w:rPr>
          <w:rFonts w:cs="Arial"/>
          <w:color w:val="4BACC6" w:themeColor="accent5"/>
          <w:sz w:val="24"/>
          <w:szCs w:val="24"/>
        </w:rPr>
        <w:t xml:space="preserve">, toda vez que solo envió </w:t>
      </w:r>
      <w:r w:rsidR="000B7F7D" w:rsidRPr="00976F0C">
        <w:rPr>
          <w:rFonts w:cs="Arial"/>
          <w:color w:val="4BACC6" w:themeColor="accent5"/>
          <w:sz w:val="24"/>
          <w:szCs w:val="24"/>
        </w:rPr>
        <w:t xml:space="preserve">por </w:t>
      </w:r>
      <w:r w:rsidR="00FE5A4C" w:rsidRPr="00976F0C">
        <w:rPr>
          <w:rFonts w:cs="Arial"/>
          <w:color w:val="4BACC6" w:themeColor="accent5"/>
          <w:sz w:val="24"/>
          <w:szCs w:val="24"/>
        </w:rPr>
        <w:t>correo electrónico</w:t>
      </w:r>
      <w:r w:rsidR="000B7F7D" w:rsidRPr="00976F0C">
        <w:rPr>
          <w:rFonts w:cs="Arial"/>
          <w:color w:val="4BACC6" w:themeColor="accent5"/>
          <w:sz w:val="24"/>
          <w:szCs w:val="24"/>
        </w:rPr>
        <w:t xml:space="preserve"> en formato electrónico </w:t>
      </w:r>
      <w:r w:rsidR="00FE5A4C" w:rsidRPr="00976F0C">
        <w:rPr>
          <w:rFonts w:cs="Arial"/>
          <w:color w:val="4BACC6" w:themeColor="accent5"/>
          <w:sz w:val="24"/>
          <w:szCs w:val="24"/>
        </w:rPr>
        <w:t>la información que se ha estudiado</w:t>
      </w:r>
      <w:r w:rsidR="000B7F7D" w:rsidRPr="00976F0C">
        <w:rPr>
          <w:rFonts w:cs="Arial"/>
          <w:color w:val="4BACC6" w:themeColor="accent5"/>
          <w:sz w:val="24"/>
          <w:szCs w:val="24"/>
        </w:rPr>
        <w:t xml:space="preserve"> </w:t>
      </w:r>
      <w:r w:rsidR="008D70F1">
        <w:rPr>
          <w:rFonts w:cs="Arial"/>
          <w:color w:val="4BACC6" w:themeColor="accent5"/>
          <w:sz w:val="24"/>
          <w:szCs w:val="24"/>
        </w:rPr>
        <w:t xml:space="preserve">pero </w:t>
      </w:r>
      <w:r w:rsidR="008D70F1" w:rsidRPr="0036214E">
        <w:rPr>
          <w:rFonts w:cs="Arial"/>
          <w:b/>
          <w:color w:val="4BACC6" w:themeColor="accent5"/>
          <w:sz w:val="24"/>
          <w:szCs w:val="24"/>
        </w:rPr>
        <w:t xml:space="preserve">no acompaña </w:t>
      </w:r>
      <w:r w:rsidR="00E820B6">
        <w:rPr>
          <w:rFonts w:cs="Arial"/>
          <w:b/>
          <w:color w:val="4BACC6" w:themeColor="accent5"/>
          <w:sz w:val="24"/>
          <w:szCs w:val="24"/>
        </w:rPr>
        <w:t xml:space="preserve">las facturas en las </w:t>
      </w:r>
      <w:r w:rsidR="008D70F1" w:rsidRPr="00C66BCC">
        <w:rPr>
          <w:rFonts w:cs="Arial"/>
          <w:b/>
          <w:color w:val="4BACC6" w:themeColor="accent5"/>
          <w:sz w:val="24"/>
          <w:szCs w:val="24"/>
        </w:rPr>
        <w:t>que bas</w:t>
      </w:r>
      <w:r w:rsidR="00E820B6" w:rsidRPr="00C66BCC">
        <w:rPr>
          <w:rFonts w:cs="Arial"/>
          <w:b/>
          <w:color w:val="4BACC6" w:themeColor="accent5"/>
          <w:sz w:val="24"/>
          <w:szCs w:val="24"/>
        </w:rPr>
        <w:t>a</w:t>
      </w:r>
      <w:r w:rsidR="008D70F1" w:rsidRPr="00C66BCC">
        <w:rPr>
          <w:rFonts w:cs="Arial"/>
          <w:b/>
          <w:color w:val="4BACC6" w:themeColor="accent5"/>
          <w:sz w:val="24"/>
          <w:szCs w:val="24"/>
        </w:rPr>
        <w:t xml:space="preserve"> su respuesta;</w:t>
      </w:r>
      <w:r w:rsidR="008D70F1">
        <w:rPr>
          <w:rFonts w:cs="Arial"/>
          <w:color w:val="4BACC6" w:themeColor="accent5"/>
          <w:sz w:val="24"/>
          <w:szCs w:val="24"/>
        </w:rPr>
        <w:t xml:space="preserve"> es decir, no remite documentos de donde se haya desprendido la información para poder dar cumplimiento a la resolución de mérito</w:t>
      </w:r>
      <w:r w:rsidR="00E820B6">
        <w:rPr>
          <w:rFonts w:cs="Arial"/>
          <w:color w:val="4BACC6" w:themeColor="accent5"/>
          <w:sz w:val="24"/>
          <w:szCs w:val="24"/>
        </w:rPr>
        <w:t xml:space="preserve">, </w:t>
      </w:r>
      <w:r w:rsidR="008D70F1">
        <w:rPr>
          <w:rFonts w:cs="Arial"/>
          <w:color w:val="4BACC6" w:themeColor="accent5"/>
          <w:sz w:val="24"/>
          <w:szCs w:val="24"/>
        </w:rPr>
        <w:t>como lo establece el artículo 3° fracción XIII de la Ley de Transparencia y Acceso a la Información Pública del Estado, que dice:</w:t>
      </w:r>
    </w:p>
    <w:p w:rsidR="008D70F1" w:rsidRDefault="008D70F1" w:rsidP="008D70F1">
      <w:pPr>
        <w:pStyle w:val="corte4fondo"/>
        <w:tabs>
          <w:tab w:val="left" w:pos="567"/>
        </w:tabs>
        <w:rPr>
          <w:rFonts w:cs="Arial"/>
          <w:color w:val="4BACC6" w:themeColor="accent5"/>
          <w:sz w:val="24"/>
          <w:szCs w:val="24"/>
        </w:rPr>
      </w:pPr>
    </w:p>
    <w:p w:rsidR="008D70F1" w:rsidRPr="00C66BCC" w:rsidRDefault="008D70F1" w:rsidP="00C66BCC">
      <w:pPr>
        <w:spacing w:after="230" w:line="360" w:lineRule="auto"/>
        <w:ind w:left="-5" w:firstLine="713"/>
        <w:jc w:val="both"/>
        <w:rPr>
          <w:rFonts w:ascii="Arial" w:hAnsi="Arial" w:cs="Arial"/>
          <w:i/>
          <w:color w:val="4BACC6" w:themeColor="accent5"/>
        </w:rPr>
      </w:pPr>
      <w:r w:rsidRPr="00C66BCC">
        <w:rPr>
          <w:rFonts w:ascii="Arial" w:hAnsi="Arial" w:cs="Arial"/>
          <w:b/>
          <w:i/>
          <w:color w:val="4BACC6" w:themeColor="accent5"/>
        </w:rPr>
        <w:t>“ARTÍCULO 3°.</w:t>
      </w:r>
      <w:r w:rsidRPr="00C66BCC">
        <w:rPr>
          <w:rFonts w:ascii="Arial" w:hAnsi="Arial" w:cs="Arial"/>
          <w:i/>
          <w:color w:val="4BACC6" w:themeColor="accent5"/>
        </w:rPr>
        <w:t xml:space="preserve"> Para los efectos de la presente Ley se entenderá por: […]</w:t>
      </w:r>
    </w:p>
    <w:p w:rsidR="008D70F1" w:rsidRPr="00C66BCC" w:rsidRDefault="008D70F1" w:rsidP="00C66BCC">
      <w:pPr>
        <w:spacing w:after="0" w:line="360" w:lineRule="auto"/>
        <w:ind w:left="10" w:firstLine="698"/>
        <w:jc w:val="both"/>
        <w:rPr>
          <w:rFonts w:ascii="Arial" w:hAnsi="Arial" w:cs="Arial"/>
          <w:i/>
          <w:color w:val="4BACC6" w:themeColor="accent5"/>
        </w:rPr>
      </w:pPr>
      <w:r w:rsidRPr="00C66BCC">
        <w:rPr>
          <w:rFonts w:ascii="Arial" w:hAnsi="Arial" w:cs="Arial"/>
          <w:b/>
          <w:i/>
          <w:color w:val="4BACC6" w:themeColor="accent5"/>
        </w:rPr>
        <w:t>XIII. Documento:</w:t>
      </w:r>
      <w:r w:rsidRPr="00C66BCC">
        <w:rPr>
          <w:rFonts w:ascii="Arial" w:hAnsi="Arial" w:cs="Arial"/>
          <w:i/>
          <w:color w:val="4BACC6" w:themeColor="accent5"/>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 […]</w:t>
      </w:r>
    </w:p>
    <w:p w:rsidR="008D70F1" w:rsidRDefault="008D70F1" w:rsidP="00C66BCC">
      <w:pPr>
        <w:pStyle w:val="corte4fondo"/>
        <w:tabs>
          <w:tab w:val="left" w:pos="567"/>
        </w:tabs>
        <w:rPr>
          <w:rFonts w:cs="Arial"/>
          <w:color w:val="4BACC6" w:themeColor="accent5"/>
          <w:sz w:val="24"/>
          <w:szCs w:val="24"/>
        </w:rPr>
      </w:pPr>
    </w:p>
    <w:p w:rsidR="008D70F1" w:rsidRDefault="008D70F1" w:rsidP="00C66BCC">
      <w:pPr>
        <w:pStyle w:val="corte4fondo"/>
        <w:tabs>
          <w:tab w:val="left" w:pos="567"/>
        </w:tabs>
        <w:rPr>
          <w:rFonts w:cs="Arial"/>
          <w:color w:val="4BACC6" w:themeColor="accent5"/>
          <w:sz w:val="24"/>
          <w:szCs w:val="24"/>
        </w:rPr>
      </w:pPr>
      <w:r>
        <w:rPr>
          <w:rFonts w:cs="Arial"/>
          <w:color w:val="4BACC6" w:themeColor="accent5"/>
          <w:sz w:val="24"/>
          <w:szCs w:val="24"/>
        </w:rPr>
        <w:t>Por lo tanto, este órgano colegiado no puede realizar la verificación de la información y así emitir el acuerdo respectivo</w:t>
      </w:r>
      <w:r w:rsidR="00C66BCC">
        <w:rPr>
          <w:rFonts w:cs="Arial"/>
          <w:color w:val="4BACC6" w:themeColor="accent5"/>
          <w:sz w:val="24"/>
          <w:szCs w:val="24"/>
        </w:rPr>
        <w:t>,</w:t>
      </w:r>
      <w:r>
        <w:rPr>
          <w:rFonts w:cs="Arial"/>
          <w:color w:val="4BACC6" w:themeColor="accent5"/>
          <w:sz w:val="24"/>
          <w:szCs w:val="24"/>
        </w:rPr>
        <w:t xml:space="preserve"> </w:t>
      </w:r>
      <w:r w:rsidRPr="00976F0C">
        <w:rPr>
          <w:rFonts w:cs="Arial"/>
          <w:color w:val="4BACC6" w:themeColor="accent5"/>
          <w:sz w:val="24"/>
          <w:szCs w:val="24"/>
        </w:rPr>
        <w:t xml:space="preserve">de </w:t>
      </w:r>
      <w:r w:rsidR="00E820B6">
        <w:rPr>
          <w:rFonts w:cs="Arial"/>
          <w:color w:val="4BACC6" w:themeColor="accent5"/>
          <w:sz w:val="24"/>
          <w:szCs w:val="24"/>
        </w:rPr>
        <w:t xml:space="preserve">conformidad </w:t>
      </w:r>
      <w:r w:rsidRPr="00976F0C">
        <w:rPr>
          <w:rFonts w:cs="Arial"/>
          <w:color w:val="4BACC6" w:themeColor="accent5"/>
          <w:sz w:val="24"/>
          <w:szCs w:val="24"/>
        </w:rPr>
        <w:t>a lo contenido en el artículo 18</w:t>
      </w:r>
      <w:r>
        <w:rPr>
          <w:rFonts w:cs="Arial"/>
          <w:color w:val="4BACC6" w:themeColor="accent5"/>
          <w:sz w:val="24"/>
          <w:szCs w:val="24"/>
        </w:rPr>
        <w:t>4</w:t>
      </w:r>
      <w:r w:rsidRPr="00976F0C">
        <w:rPr>
          <w:rFonts w:cs="Arial"/>
          <w:color w:val="4BACC6" w:themeColor="accent5"/>
          <w:sz w:val="24"/>
          <w:szCs w:val="24"/>
        </w:rPr>
        <w:t xml:space="preserve"> de la Ley de Transparencia y Acceso a la Información Pública del Estado, </w:t>
      </w:r>
      <w:r w:rsidR="00C66BCC">
        <w:rPr>
          <w:rFonts w:cs="Arial"/>
          <w:color w:val="4BACC6" w:themeColor="accent5"/>
          <w:sz w:val="24"/>
          <w:szCs w:val="24"/>
        </w:rPr>
        <w:t>el cual se inserta y dice</w:t>
      </w:r>
      <w:r w:rsidRPr="00976F0C">
        <w:rPr>
          <w:rFonts w:cs="Arial"/>
          <w:color w:val="4BACC6" w:themeColor="accent5"/>
          <w:sz w:val="24"/>
          <w:szCs w:val="24"/>
        </w:rPr>
        <w:t>:</w:t>
      </w:r>
    </w:p>
    <w:p w:rsidR="008D70F1" w:rsidRDefault="008D70F1" w:rsidP="00523D76">
      <w:pPr>
        <w:pStyle w:val="corte4fondo"/>
        <w:tabs>
          <w:tab w:val="left" w:pos="567"/>
        </w:tabs>
        <w:rPr>
          <w:rFonts w:cs="Arial"/>
          <w:color w:val="4BACC6" w:themeColor="accent5"/>
          <w:sz w:val="24"/>
          <w:szCs w:val="24"/>
        </w:rPr>
      </w:pPr>
    </w:p>
    <w:p w:rsidR="00E621C8" w:rsidRPr="00C66BCC" w:rsidRDefault="00523D76" w:rsidP="008478C1">
      <w:pPr>
        <w:spacing w:line="360" w:lineRule="auto"/>
        <w:ind w:left="-5" w:firstLine="713"/>
        <w:jc w:val="both"/>
        <w:rPr>
          <w:rFonts w:ascii="Arial" w:eastAsia="Arial" w:hAnsi="Arial" w:cs="Arial"/>
          <w:i/>
          <w:color w:val="4BACC6" w:themeColor="accent5"/>
        </w:rPr>
      </w:pPr>
      <w:r w:rsidRPr="00C66BCC">
        <w:rPr>
          <w:rFonts w:ascii="Arial" w:hAnsi="Arial" w:cs="Arial"/>
          <w:i/>
          <w:color w:val="4BACC6" w:themeColor="accent5"/>
        </w:rPr>
        <w:t>“</w:t>
      </w:r>
      <w:r w:rsidR="00E621C8" w:rsidRPr="00C66BCC">
        <w:rPr>
          <w:rFonts w:ascii="Arial" w:hAnsi="Arial" w:cs="Arial"/>
          <w:b/>
          <w:i/>
          <w:color w:val="4BACC6" w:themeColor="accent5"/>
        </w:rPr>
        <w:t>ARTÍCULO 184.</w:t>
      </w:r>
      <w:r w:rsidR="00E621C8" w:rsidRPr="00C66BCC">
        <w:rPr>
          <w:rFonts w:ascii="Arial" w:hAnsi="Arial" w:cs="Arial"/>
          <w:i/>
          <w:color w:val="4BACC6" w:themeColor="accent5"/>
        </w:rPr>
        <w:t xml:space="preserve"> Transcurrido el plazo señalado en el artículo anterior, el sujeto obligado deberá informar a la CEGAIP sobre el cumplimento de la resolución.</w:t>
      </w:r>
    </w:p>
    <w:p w:rsidR="0039642A" w:rsidRPr="00C66BCC" w:rsidRDefault="00E621C8" w:rsidP="00C66BCC">
      <w:pPr>
        <w:spacing w:after="0" w:line="360" w:lineRule="auto"/>
        <w:ind w:left="-5" w:firstLine="713"/>
        <w:jc w:val="both"/>
        <w:rPr>
          <w:rFonts w:ascii="Arial" w:hAnsi="Arial" w:cs="Arial"/>
          <w:i/>
          <w:color w:val="4BACC6" w:themeColor="accent5"/>
        </w:rPr>
      </w:pPr>
      <w:r w:rsidRPr="00C66BCC">
        <w:rPr>
          <w:rFonts w:ascii="Arial" w:hAnsi="Arial" w:cs="Arial"/>
          <w:i/>
          <w:color w:val="4BACC6" w:themeColor="accent5"/>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sidRPr="00C66BCC">
        <w:rPr>
          <w:rFonts w:ascii="Arial" w:hAnsi="Arial" w:cs="Arial"/>
          <w:i/>
          <w:color w:val="4BACC6" w:themeColor="accent5"/>
        </w:rPr>
        <w:t>”</w:t>
      </w:r>
    </w:p>
    <w:p w:rsidR="00C66BCC" w:rsidRDefault="00C66BCC" w:rsidP="00C66BCC">
      <w:pPr>
        <w:spacing w:after="0" w:line="360" w:lineRule="auto"/>
        <w:ind w:left="-5" w:firstLine="713"/>
        <w:jc w:val="both"/>
        <w:rPr>
          <w:rFonts w:ascii="Arial" w:hAnsi="Arial" w:cs="Arial"/>
          <w:i/>
          <w:color w:val="4BACC6" w:themeColor="accent5"/>
          <w:sz w:val="20"/>
          <w:szCs w:val="20"/>
        </w:rPr>
      </w:pPr>
    </w:p>
    <w:p w:rsidR="006569DD" w:rsidRPr="00976F0C" w:rsidRDefault="00E820B6" w:rsidP="00C66BCC">
      <w:pPr>
        <w:pStyle w:val="corte4fondo"/>
        <w:tabs>
          <w:tab w:val="left" w:pos="567"/>
        </w:tabs>
        <w:rPr>
          <w:rFonts w:cs="Arial"/>
          <w:color w:val="4BACC6" w:themeColor="accent5"/>
          <w:sz w:val="24"/>
          <w:szCs w:val="24"/>
        </w:rPr>
      </w:pPr>
      <w:r>
        <w:rPr>
          <w:rFonts w:cs="Arial"/>
          <w:color w:val="4BACC6" w:themeColor="accent5"/>
          <w:sz w:val="24"/>
          <w:szCs w:val="24"/>
        </w:rPr>
        <w:lastRenderedPageBreak/>
        <w:t>En tal virtud</w:t>
      </w:r>
      <w:r w:rsidR="00523D76" w:rsidRPr="00976F0C">
        <w:rPr>
          <w:rFonts w:cs="Arial"/>
          <w:color w:val="4BACC6" w:themeColor="accent5"/>
          <w:sz w:val="24"/>
          <w:szCs w:val="24"/>
        </w:rPr>
        <w:t xml:space="preserve">, </w:t>
      </w:r>
      <w:r w:rsidR="00C66BCC">
        <w:rPr>
          <w:rFonts w:cs="Arial"/>
          <w:color w:val="4BACC6" w:themeColor="accent5"/>
          <w:sz w:val="24"/>
          <w:szCs w:val="24"/>
        </w:rPr>
        <w:t xml:space="preserve">de </w:t>
      </w:r>
      <w:r w:rsidR="00523D76" w:rsidRPr="00976F0C">
        <w:rPr>
          <w:rFonts w:cs="Arial"/>
          <w:color w:val="4BACC6" w:themeColor="accent5"/>
          <w:sz w:val="24"/>
          <w:szCs w:val="24"/>
        </w:rPr>
        <w:t>las documentales exhibidas por el sujeto obligado</w:t>
      </w:r>
      <w:r>
        <w:rPr>
          <w:rFonts w:cs="Arial"/>
          <w:color w:val="4BACC6" w:themeColor="accent5"/>
          <w:sz w:val="24"/>
          <w:szCs w:val="24"/>
        </w:rPr>
        <w:t xml:space="preserve"> </w:t>
      </w:r>
      <w:r w:rsidR="00C66BCC">
        <w:rPr>
          <w:rFonts w:cs="Arial"/>
          <w:color w:val="4BACC6" w:themeColor="accent5"/>
          <w:sz w:val="24"/>
          <w:szCs w:val="24"/>
        </w:rPr>
        <w:t xml:space="preserve">se estima que </w:t>
      </w:r>
      <w:r w:rsidR="00571B19" w:rsidRPr="00976F0C">
        <w:rPr>
          <w:rFonts w:cs="Arial"/>
          <w:color w:val="4BACC6" w:themeColor="accent5"/>
          <w:sz w:val="24"/>
          <w:szCs w:val="24"/>
        </w:rPr>
        <w:t xml:space="preserve">no </w:t>
      </w:r>
      <w:r>
        <w:rPr>
          <w:rFonts w:cs="Arial"/>
          <w:color w:val="4BACC6" w:themeColor="accent5"/>
          <w:sz w:val="24"/>
          <w:szCs w:val="24"/>
        </w:rPr>
        <w:t>son</w:t>
      </w:r>
      <w:r w:rsidR="00571B19" w:rsidRPr="00976F0C">
        <w:rPr>
          <w:rFonts w:cs="Arial"/>
          <w:color w:val="4BACC6" w:themeColor="accent5"/>
          <w:sz w:val="24"/>
          <w:szCs w:val="24"/>
        </w:rPr>
        <w:t xml:space="preserve"> </w:t>
      </w:r>
      <w:r w:rsidR="001E317B" w:rsidRPr="00976F0C">
        <w:rPr>
          <w:rFonts w:cs="Arial"/>
          <w:color w:val="4BACC6" w:themeColor="accent5"/>
          <w:sz w:val="24"/>
          <w:szCs w:val="24"/>
        </w:rPr>
        <w:t>suficiente</w:t>
      </w:r>
      <w:r>
        <w:rPr>
          <w:rFonts w:cs="Arial"/>
          <w:color w:val="4BACC6" w:themeColor="accent5"/>
          <w:sz w:val="24"/>
          <w:szCs w:val="24"/>
        </w:rPr>
        <w:t>s</w:t>
      </w:r>
      <w:r w:rsidR="001E317B" w:rsidRPr="00976F0C">
        <w:rPr>
          <w:rFonts w:cs="Arial"/>
          <w:color w:val="4BACC6" w:themeColor="accent5"/>
          <w:sz w:val="24"/>
          <w:szCs w:val="24"/>
        </w:rPr>
        <w:t xml:space="preserv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t>incumplida</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C66BCC" w:rsidRDefault="005C7BA1" w:rsidP="005C7BA1">
      <w:pPr>
        <w:spacing w:after="0" w:line="360" w:lineRule="auto"/>
        <w:ind w:left="708" w:firstLine="709"/>
        <w:jc w:val="both"/>
        <w:rPr>
          <w:rFonts w:ascii="Arial" w:hAnsi="Arial" w:cs="Arial"/>
          <w:i/>
          <w:color w:val="4BACC6" w:themeColor="accent5"/>
        </w:rPr>
      </w:pPr>
      <w:r w:rsidRPr="00C66BCC">
        <w:rPr>
          <w:rFonts w:ascii="Arial" w:hAnsi="Arial" w:cs="Arial"/>
          <w:i/>
          <w:color w:val="4BACC6" w:themeColor="accent5"/>
        </w:rPr>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427953">
        <w:rPr>
          <w:rFonts w:ascii="Arial" w:hAnsi="Arial" w:cs="Arial"/>
          <w:b/>
          <w:color w:val="4BACC6" w:themeColor="accent5"/>
          <w:sz w:val="24"/>
          <w:szCs w:val="24"/>
        </w:rPr>
        <w:t xml:space="preserve">Titular de </w:t>
      </w:r>
      <w:r w:rsidR="008164DC">
        <w:rPr>
          <w:rFonts w:ascii="Arial" w:hAnsi="Arial" w:cs="Arial"/>
          <w:b/>
          <w:color w:val="4BACC6" w:themeColor="accent5"/>
          <w:sz w:val="24"/>
          <w:szCs w:val="24"/>
        </w:rPr>
        <w:t>Servicios de Salud en el Estado</w:t>
      </w:r>
      <w:r w:rsidR="00427953">
        <w:rPr>
          <w:rFonts w:ascii="Arial" w:hAnsi="Arial" w:cs="Arial"/>
          <w:b/>
          <w:color w:val="4BACC6" w:themeColor="accent5"/>
          <w:sz w:val="24"/>
          <w:szCs w:val="24"/>
        </w:rPr>
        <w:t xml:space="preserve"> </w:t>
      </w:r>
      <w:r w:rsidR="00922275"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00090736" w:rsidRPr="00976F0C">
        <w:rPr>
          <w:rFonts w:ascii="Arial" w:hAnsi="Arial" w:cs="Arial"/>
          <w:b/>
          <w:color w:val="4BACC6" w:themeColor="accent5"/>
          <w:sz w:val="24"/>
          <w:szCs w:val="24"/>
        </w:rPr>
        <w:t>l</w:t>
      </w:r>
      <w:r w:rsidR="008164DC">
        <w:rPr>
          <w:rFonts w:ascii="Arial" w:hAnsi="Arial" w:cs="Arial"/>
          <w:b/>
          <w:color w:val="4BACC6" w:themeColor="accent5"/>
          <w:sz w:val="24"/>
          <w:szCs w:val="24"/>
        </w:rPr>
        <w:t>os</w:t>
      </w:r>
      <w:r w:rsidR="00090736" w:rsidRPr="00976F0C">
        <w:rPr>
          <w:rFonts w:ascii="Arial" w:hAnsi="Arial" w:cs="Arial"/>
          <w:b/>
          <w:color w:val="4BACC6" w:themeColor="accent5"/>
          <w:sz w:val="24"/>
          <w:szCs w:val="24"/>
        </w:rPr>
        <w:t xml:space="preserve"> </w:t>
      </w:r>
      <w:r w:rsidR="008164DC">
        <w:rPr>
          <w:rFonts w:ascii="Arial" w:hAnsi="Arial" w:cs="Arial"/>
          <w:b/>
          <w:color w:val="4BACC6" w:themeColor="accent5"/>
          <w:sz w:val="24"/>
          <w:szCs w:val="24"/>
        </w:rPr>
        <w:t>Servicios de Salud en el Estado</w:t>
      </w:r>
      <w:r w:rsidR="00427953">
        <w:rPr>
          <w:rFonts w:ascii="Arial" w:hAnsi="Arial" w:cs="Arial"/>
          <w:b/>
          <w:color w:val="4BACC6" w:themeColor="accent5"/>
          <w:sz w:val="24"/>
          <w:szCs w:val="24"/>
        </w:rPr>
        <w:t xml:space="preserve"> </w:t>
      </w:r>
      <w:r w:rsidR="008478C1">
        <w:rPr>
          <w:rFonts w:ascii="Arial" w:hAnsi="Arial" w:cs="Arial"/>
          <w:b/>
          <w:color w:val="4BACC6" w:themeColor="accent5"/>
          <w:sz w:val="24"/>
          <w:szCs w:val="24"/>
        </w:rPr>
        <w:t>de</w:t>
      </w:r>
      <w:r w:rsidR="00090736" w:rsidRPr="00976F0C">
        <w:rPr>
          <w:rFonts w:ascii="Arial" w:hAnsi="Arial" w:cs="Arial"/>
          <w:b/>
          <w:color w:val="4BACC6" w:themeColor="accent5"/>
          <w:sz w:val="24"/>
          <w:szCs w:val="24"/>
        </w:rPr>
        <w:t xml:space="preserve"> 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8164DC">
        <w:rPr>
          <w:rFonts w:ascii="Arial" w:hAnsi="Arial" w:cs="Arial"/>
          <w:b/>
          <w:color w:val="4BACC6" w:themeColor="accent5"/>
          <w:sz w:val="24"/>
          <w:szCs w:val="24"/>
        </w:rPr>
        <w:t>72</w:t>
      </w:r>
      <w:r w:rsidR="00C66BCC">
        <w:rPr>
          <w:rFonts w:ascii="Arial" w:hAnsi="Arial" w:cs="Arial"/>
          <w:b/>
          <w:color w:val="4BACC6" w:themeColor="accent5"/>
          <w:sz w:val="24"/>
          <w:szCs w:val="24"/>
        </w:rPr>
        <w:t>7</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lastRenderedPageBreak/>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C66BCC" w:rsidRDefault="00C66BCC" w:rsidP="00845E58">
      <w:pPr>
        <w:spacing w:after="0" w:line="240" w:lineRule="auto"/>
        <w:ind w:firstLine="709"/>
        <w:jc w:val="both"/>
        <w:rPr>
          <w:rFonts w:ascii="Arial" w:hAnsi="Arial" w:cs="Arial"/>
          <w:color w:val="4BACC6" w:themeColor="accent5"/>
          <w:sz w:val="16"/>
          <w:szCs w:val="16"/>
        </w:rPr>
      </w:pPr>
    </w:p>
    <w:p w:rsidR="00C66BCC" w:rsidRDefault="00C66BCC" w:rsidP="00845E58">
      <w:pPr>
        <w:spacing w:after="0" w:line="240" w:lineRule="auto"/>
        <w:ind w:firstLine="709"/>
        <w:jc w:val="both"/>
        <w:rPr>
          <w:rFonts w:ascii="Arial" w:hAnsi="Arial" w:cs="Arial"/>
          <w:color w:val="4BACC6" w:themeColor="accent5"/>
          <w:sz w:val="16"/>
          <w:szCs w:val="16"/>
        </w:rPr>
      </w:pPr>
    </w:p>
    <w:p w:rsidR="00C66BCC" w:rsidRDefault="00C66BCC" w:rsidP="00845E58">
      <w:pPr>
        <w:spacing w:after="0" w:line="240" w:lineRule="auto"/>
        <w:ind w:firstLine="709"/>
        <w:jc w:val="both"/>
        <w:rPr>
          <w:rFonts w:ascii="Arial" w:hAnsi="Arial" w:cs="Arial"/>
          <w:color w:val="4BACC6" w:themeColor="accent5"/>
          <w:sz w:val="16"/>
          <w:szCs w:val="16"/>
        </w:rPr>
      </w:pPr>
    </w:p>
    <w:p w:rsidR="00C66BCC" w:rsidRDefault="00C66BCC" w:rsidP="00845E58">
      <w:pPr>
        <w:spacing w:after="0" w:line="240" w:lineRule="auto"/>
        <w:ind w:firstLine="709"/>
        <w:jc w:val="both"/>
        <w:rPr>
          <w:rFonts w:ascii="Arial" w:hAnsi="Arial" w:cs="Arial"/>
          <w:color w:val="4BACC6" w:themeColor="accent5"/>
          <w:sz w:val="16"/>
          <w:szCs w:val="16"/>
        </w:rPr>
      </w:pPr>
    </w:p>
    <w:p w:rsidR="008478C1" w:rsidRPr="00976F0C" w:rsidRDefault="008478C1"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E32AE9" w:rsidRPr="00976F0C" w:rsidRDefault="00976F0C" w:rsidP="00976F0C">
      <w:pPr>
        <w:tabs>
          <w:tab w:val="left" w:pos="900"/>
        </w:tabs>
        <w:rPr>
          <w:rFonts w:ascii="Arial" w:hAnsi="Arial" w:cs="Arial"/>
          <w:color w:val="4BACC6" w:themeColor="accent5"/>
          <w:sz w:val="16"/>
          <w:szCs w:val="16"/>
        </w:rPr>
      </w:pPr>
      <w:r w:rsidRPr="00976F0C">
        <w:rPr>
          <w:rFonts w:ascii="Arial" w:hAnsi="Arial" w:cs="Arial"/>
          <w:color w:val="4BACC6" w:themeColor="accent5"/>
          <w:sz w:val="16"/>
          <w:szCs w:val="16"/>
        </w:rPr>
        <w:tab/>
      </w: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C66BCC">
      <w:pPr>
        <w:tabs>
          <w:tab w:val="left" w:pos="900"/>
        </w:tabs>
        <w:ind w:left="900"/>
        <w:jc w:val="both"/>
        <w:rPr>
          <w:rFonts w:ascii="Arial" w:hAnsi="Arial" w:cs="Arial"/>
          <w:color w:val="4BACC6" w:themeColor="accent5"/>
          <w:sz w:val="18"/>
          <w:szCs w:val="18"/>
        </w:rPr>
      </w:pPr>
      <w:r w:rsidRPr="00976F0C">
        <w:rPr>
          <w:rFonts w:ascii="Arial" w:hAnsi="Arial" w:cs="Arial"/>
          <w:color w:val="4BACC6" w:themeColor="accent5"/>
          <w:sz w:val="18"/>
          <w:szCs w:val="18"/>
        </w:rPr>
        <w:t xml:space="preserve">(Esta foja pertenece a la parte final del proveído de </w:t>
      </w:r>
      <w:r w:rsidR="00C66BCC">
        <w:rPr>
          <w:rFonts w:ascii="Arial" w:hAnsi="Arial" w:cs="Arial"/>
          <w:color w:val="4BACC6" w:themeColor="accent5"/>
          <w:sz w:val="18"/>
          <w:szCs w:val="18"/>
        </w:rPr>
        <w:t xml:space="preserve">quince </w:t>
      </w:r>
      <w:r w:rsidRPr="00976F0C">
        <w:rPr>
          <w:rFonts w:ascii="Arial" w:hAnsi="Arial" w:cs="Arial"/>
          <w:color w:val="4BACC6" w:themeColor="accent5"/>
          <w:sz w:val="18"/>
          <w:szCs w:val="18"/>
        </w:rPr>
        <w:t xml:space="preserve">de </w:t>
      </w:r>
      <w:r w:rsidR="00C66BCC">
        <w:rPr>
          <w:rFonts w:ascii="Arial" w:hAnsi="Arial" w:cs="Arial"/>
          <w:color w:val="4BACC6" w:themeColor="accent5"/>
          <w:sz w:val="18"/>
          <w:szCs w:val="18"/>
        </w:rPr>
        <w:t>febrero</w:t>
      </w:r>
      <w:r w:rsidRPr="00976F0C">
        <w:rPr>
          <w:rFonts w:ascii="Arial" w:hAnsi="Arial" w:cs="Arial"/>
          <w:color w:val="4BACC6" w:themeColor="accent5"/>
          <w:sz w:val="18"/>
          <w:szCs w:val="18"/>
        </w:rPr>
        <w:t xml:space="preserve"> de dos mil dieciocho, dentro del recurso de revisión </w:t>
      </w:r>
      <w:r w:rsidR="00C66BCC">
        <w:rPr>
          <w:rFonts w:ascii="Arial" w:hAnsi="Arial" w:cs="Arial"/>
          <w:color w:val="4BACC6" w:themeColor="accent5"/>
          <w:sz w:val="18"/>
          <w:szCs w:val="18"/>
        </w:rPr>
        <w:t>727</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-1 PLATAFORMA).</w:t>
      </w:r>
    </w:p>
    <w:sectPr w:rsidR="00976F0C"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D16" w:rsidRDefault="00594D16" w:rsidP="00A04BCB">
      <w:pPr>
        <w:spacing w:after="0" w:line="240" w:lineRule="auto"/>
      </w:pPr>
      <w:r>
        <w:separator/>
      </w:r>
    </w:p>
  </w:endnote>
  <w:endnote w:type="continuationSeparator" w:id="0">
    <w:p w:rsidR="00594D16" w:rsidRDefault="00594D16"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D16" w:rsidRDefault="00594D16" w:rsidP="00A04BCB">
      <w:pPr>
        <w:spacing w:after="0" w:line="240" w:lineRule="auto"/>
      </w:pPr>
      <w:r>
        <w:separator/>
      </w:r>
    </w:p>
  </w:footnote>
  <w:footnote w:type="continuationSeparator" w:id="0">
    <w:p w:rsidR="00594D16" w:rsidRDefault="00594D16"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77165D">
      <w:rPr>
        <w:rFonts w:ascii="Arial" w:hAnsi="Arial" w:cs="Arial"/>
        <w:b/>
      </w:rPr>
      <w:t>727</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2DC3EDB"/>
    <w:multiLevelType w:val="hybridMultilevel"/>
    <w:tmpl w:val="3FA85C3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1"/>
  </w:num>
  <w:num w:numId="6">
    <w:abstractNumId w:val="8"/>
  </w:num>
  <w:num w:numId="7">
    <w:abstractNumId w:val="1"/>
  </w:num>
  <w:num w:numId="8">
    <w:abstractNumId w:val="13"/>
  </w:num>
  <w:num w:numId="9">
    <w:abstractNumId w:val="4"/>
  </w:num>
  <w:num w:numId="10">
    <w:abstractNumId w:val="0"/>
  </w:num>
  <w:num w:numId="11">
    <w:abstractNumId w:val="7"/>
  </w:num>
  <w:num w:numId="12">
    <w:abstractNumId w:val="12"/>
  </w:num>
  <w:num w:numId="13">
    <w:abstractNumId w:val="10"/>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86A93"/>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21F"/>
    <w:rsid w:val="002A6A30"/>
    <w:rsid w:val="002B40C2"/>
    <w:rsid w:val="002C38D0"/>
    <w:rsid w:val="002D0070"/>
    <w:rsid w:val="002D371A"/>
    <w:rsid w:val="002E4736"/>
    <w:rsid w:val="002E5C18"/>
    <w:rsid w:val="002F30EF"/>
    <w:rsid w:val="003032F5"/>
    <w:rsid w:val="003047E5"/>
    <w:rsid w:val="00331B9E"/>
    <w:rsid w:val="003332F1"/>
    <w:rsid w:val="00351566"/>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94D16"/>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9712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65D"/>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164DC"/>
    <w:rsid w:val="0082057A"/>
    <w:rsid w:val="008334F5"/>
    <w:rsid w:val="00845E58"/>
    <w:rsid w:val="008478C1"/>
    <w:rsid w:val="00850170"/>
    <w:rsid w:val="00852028"/>
    <w:rsid w:val="0085470E"/>
    <w:rsid w:val="00874C83"/>
    <w:rsid w:val="0088125B"/>
    <w:rsid w:val="00895B03"/>
    <w:rsid w:val="00897B0C"/>
    <w:rsid w:val="008A6B41"/>
    <w:rsid w:val="008B15BA"/>
    <w:rsid w:val="008C22E2"/>
    <w:rsid w:val="008D0A3C"/>
    <w:rsid w:val="008D70F1"/>
    <w:rsid w:val="008F388A"/>
    <w:rsid w:val="008F6149"/>
    <w:rsid w:val="009039C8"/>
    <w:rsid w:val="00906B75"/>
    <w:rsid w:val="009124C4"/>
    <w:rsid w:val="00922275"/>
    <w:rsid w:val="0092572B"/>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0225E"/>
    <w:rsid w:val="00C07D4B"/>
    <w:rsid w:val="00C16EC4"/>
    <w:rsid w:val="00C23535"/>
    <w:rsid w:val="00C257BC"/>
    <w:rsid w:val="00C37176"/>
    <w:rsid w:val="00C42933"/>
    <w:rsid w:val="00C66BCC"/>
    <w:rsid w:val="00C66E3D"/>
    <w:rsid w:val="00C70A3F"/>
    <w:rsid w:val="00C73D19"/>
    <w:rsid w:val="00C7664A"/>
    <w:rsid w:val="00C86357"/>
    <w:rsid w:val="00C96DC3"/>
    <w:rsid w:val="00CC57CD"/>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32AE9"/>
    <w:rsid w:val="00E43715"/>
    <w:rsid w:val="00E4433C"/>
    <w:rsid w:val="00E4590E"/>
    <w:rsid w:val="00E51C51"/>
    <w:rsid w:val="00E621C8"/>
    <w:rsid w:val="00E66DB6"/>
    <w:rsid w:val="00E820B6"/>
    <w:rsid w:val="00E828C8"/>
    <w:rsid w:val="00E94C22"/>
    <w:rsid w:val="00E95910"/>
    <w:rsid w:val="00EA3D66"/>
    <w:rsid w:val="00EB06E0"/>
    <w:rsid w:val="00EB6638"/>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8B564"/>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BCABB-755C-4D16-8D23-785054DEE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6233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2018-02-15T16:41:00Z</dcterms:created>
  <dcterms:modified xsi:type="dcterms:W3CDTF">2018-02-15T16:41:00Z</dcterms:modified>
</cp:coreProperties>
</file>